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52F86" w:rsidRDefault="00827F63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税控盘版税控开票系统网上变更操作方法</w:t>
      </w:r>
    </w:p>
    <w:p w:rsidR="00E52F86" w:rsidRDefault="00E52F86">
      <w:pPr>
        <w:rPr>
          <w:rFonts w:ascii="仿宋_GB2312" w:eastAsia="仿宋_GB2312"/>
          <w:sz w:val="32"/>
          <w:szCs w:val="32"/>
        </w:rPr>
      </w:pPr>
    </w:p>
    <w:p w:rsidR="00E52F86" w:rsidRDefault="00827F63">
      <w:pPr>
        <w:pStyle w:val="2"/>
        <w:ind w:firstLineChars="196" w:firstLine="630"/>
        <w:rPr>
          <w:rFonts w:ascii="黑体" w:eastAsia="黑体" w:hint="default"/>
          <w:sz w:val="32"/>
          <w:szCs w:val="32"/>
        </w:rPr>
      </w:pPr>
      <w:r>
        <w:rPr>
          <w:rFonts w:ascii="黑体" w:eastAsia="黑体"/>
          <w:sz w:val="32"/>
          <w:szCs w:val="32"/>
        </w:rPr>
        <w:t>一、</w:t>
      </w:r>
      <w:r>
        <w:rPr>
          <w:rFonts w:ascii="黑体" w:eastAsia="黑体" w:hAnsi="仿宋"/>
          <w:sz w:val="32"/>
          <w:szCs w:val="32"/>
        </w:rPr>
        <w:t>企业端开票软件网上变更流程</w:t>
      </w:r>
    </w:p>
    <w:p w:rsidR="00E52F86" w:rsidRDefault="00827F63">
      <w:pPr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1.</w:t>
      </w:r>
      <w:r>
        <w:rPr>
          <w:rFonts w:ascii="仿宋_GB2312" w:eastAsia="仿宋_GB2312" w:hAnsi="仿宋" w:cs="Times New Roman" w:hint="eastAsia"/>
          <w:sz w:val="32"/>
          <w:szCs w:val="32"/>
        </w:rPr>
        <w:t>支持</w:t>
      </w:r>
      <w:r>
        <w:rPr>
          <w:rFonts w:ascii="仿宋_GB2312" w:eastAsia="仿宋_GB2312" w:hAnsi="仿宋" w:cs="Times New Roman" w:hint="eastAsia"/>
          <w:sz w:val="32"/>
          <w:szCs w:val="32"/>
        </w:rPr>
        <w:t>网上</w:t>
      </w:r>
      <w:r>
        <w:rPr>
          <w:rFonts w:ascii="仿宋_GB2312" w:eastAsia="仿宋_GB2312" w:hAnsi="仿宋" w:cs="Times New Roman" w:hint="eastAsia"/>
          <w:sz w:val="32"/>
          <w:szCs w:val="32"/>
        </w:rPr>
        <w:t>变更功能的版本要求：</w:t>
      </w:r>
      <w:proofErr w:type="gramStart"/>
      <w:r>
        <w:rPr>
          <w:rFonts w:ascii="仿宋_GB2312" w:eastAsia="仿宋_GB2312"/>
          <w:sz w:val="32"/>
          <w:szCs w:val="32"/>
        </w:rPr>
        <w:t>税控盘版</w:t>
      </w:r>
      <w:proofErr w:type="gramEnd"/>
      <w:r>
        <w:rPr>
          <w:rFonts w:ascii="仿宋_GB2312" w:eastAsia="仿宋_GB2312"/>
          <w:sz w:val="32"/>
          <w:szCs w:val="32"/>
        </w:rPr>
        <w:t>V2.0.24_ZS_20180625</w:t>
      </w:r>
      <w:r>
        <w:rPr>
          <w:rFonts w:ascii="仿宋_GB2312" w:eastAsia="仿宋_GB2312"/>
          <w:sz w:val="32"/>
          <w:szCs w:val="32"/>
        </w:rPr>
        <w:t>或以上版本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税控盘盘底层为</w:t>
      </w:r>
      <w:r>
        <w:rPr>
          <w:rFonts w:ascii="仿宋_GB2312" w:eastAsia="仿宋_GB2312"/>
          <w:sz w:val="32"/>
          <w:szCs w:val="32"/>
        </w:rPr>
        <w:t>1100</w:t>
      </w:r>
      <w:r>
        <w:rPr>
          <w:rFonts w:ascii="仿宋_GB2312" w:eastAsia="仿宋_GB2312"/>
          <w:sz w:val="32"/>
          <w:szCs w:val="32"/>
        </w:rPr>
        <w:t>及以上的版本（即</w:t>
      </w:r>
      <w:r>
        <w:rPr>
          <w:rFonts w:ascii="仿宋_GB2312" w:eastAsia="仿宋_GB2312"/>
          <w:sz w:val="32"/>
          <w:szCs w:val="32"/>
        </w:rPr>
        <w:t>1100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1101</w:t>
      </w:r>
      <w:r>
        <w:rPr>
          <w:rFonts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1102</w:t>
      </w:r>
      <w:proofErr w:type="gramStart"/>
      <w:r>
        <w:rPr>
          <w:rFonts w:ascii="仿宋_GB2312" w:eastAsia="仿宋_GB2312"/>
          <w:sz w:val="32"/>
          <w:szCs w:val="32"/>
        </w:rPr>
        <w:t>三个</w:t>
      </w:r>
      <w:proofErr w:type="gramEnd"/>
      <w:r>
        <w:rPr>
          <w:rFonts w:ascii="仿宋_GB2312" w:eastAsia="仿宋_GB2312"/>
          <w:sz w:val="32"/>
          <w:szCs w:val="32"/>
        </w:rPr>
        <w:t>版本）支持远程变更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E52F86" w:rsidRDefault="00827F63">
      <w:pPr>
        <w:numPr>
          <w:ilvl w:val="0"/>
          <w:numId w:val="1"/>
        </w:numPr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可通过开票软件的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网上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变更功能将变更后的税务机关代码写入税控设备。获取目前所用的开票软件版本号及底层版本号、执行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网上变更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按照以下步骤操作：</w:t>
      </w:r>
    </w:p>
    <w:p w:rsidR="00E52F86" w:rsidRDefault="00827F63">
      <w:pPr>
        <w:spacing w:beforeLines="50" w:before="156" w:afterLines="50" w:after="156" w:line="360" w:lineRule="auto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步骤</w:t>
      </w:r>
      <w:proofErr w:type="gramStart"/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进入开票软件，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点击</w:t>
      </w:r>
      <w:r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帮助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关于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菜单项，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下图红</w:t>
      </w: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框位置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显示为开票软件版本号。</w:t>
      </w:r>
    </w:p>
    <w:p w:rsidR="00E52F86" w:rsidRDefault="00827F63">
      <w:pPr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5105400" cy="3133090"/>
            <wp:effectExtent l="0" t="0" r="0" b="1016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133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图：开票软件版本号</w:t>
      </w:r>
    </w:p>
    <w:p w:rsidR="00E52F86" w:rsidRDefault="00827F63">
      <w:pPr>
        <w:spacing w:beforeLines="50" w:before="156" w:afterLines="50" w:after="156" w:line="360" w:lineRule="auto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lastRenderedPageBreak/>
        <w:t>步骤二：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进入开票软件，</w:t>
      </w:r>
      <w:r>
        <w:rPr>
          <w:rFonts w:ascii="仿宋_GB2312" w:eastAsia="仿宋_GB2312" w:hint="eastAsia"/>
          <w:sz w:val="32"/>
          <w:szCs w:val="32"/>
        </w:rPr>
        <w:t>点击“系统设置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税控设备设置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税控设备</w:t>
      </w:r>
      <w:r>
        <w:rPr>
          <w:rFonts w:ascii="仿宋_GB2312" w:eastAsia="仿宋_GB2312" w:hint="eastAsia"/>
          <w:sz w:val="32"/>
          <w:szCs w:val="32"/>
        </w:rPr>
        <w:t>状态查询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税控盘信息</w:t>
      </w:r>
      <w:r>
        <w:rPr>
          <w:rFonts w:ascii="仿宋_GB2312" w:eastAsia="仿宋_GB2312" w:hint="eastAsia"/>
          <w:sz w:val="32"/>
          <w:szCs w:val="32"/>
        </w:rPr>
        <w:t>”菜单项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，显示如下图所示，可查询底层版本号。</w:t>
      </w:r>
    </w:p>
    <w:p w:rsidR="00E52F86" w:rsidRDefault="00827F63" w:rsidP="00D759FD">
      <w:pPr>
        <w:spacing w:beforeLines="50" w:before="156" w:afterLines="50" w:after="156" w:line="360" w:lineRule="auto"/>
        <w:ind w:firstLineChars="200" w:firstLine="420"/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4904740" cy="2969260"/>
            <wp:effectExtent l="0" t="0" r="10160" b="2540"/>
            <wp:docPr id="1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296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spacing w:beforeLines="50" w:before="156" w:afterLines="50" w:after="156"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 xml:space="preserve">            </w:t>
      </w:r>
      <w:r>
        <w:rPr>
          <w:rFonts w:ascii="仿宋_GB2312" w:eastAsia="仿宋_GB2312" w:hAnsi="仿宋" w:cs="Times New Roman" w:hint="eastAsia"/>
          <w:sz w:val="32"/>
          <w:szCs w:val="32"/>
        </w:rPr>
        <w:t>图：底层版本号查询</w:t>
      </w:r>
    </w:p>
    <w:p w:rsidR="00E52F86" w:rsidRDefault="00E52F86">
      <w:pPr>
        <w:spacing w:beforeLines="50" w:before="156" w:afterLines="50" w:after="156"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E52F86" w:rsidRDefault="00827F63" w:rsidP="00D759FD">
      <w:pPr>
        <w:pStyle w:val="a6"/>
        <w:widowControl/>
        <w:ind w:firstLineChars="200" w:firstLine="643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步骤三：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开票软件版本及底层版本同时满足时，</w:t>
      </w:r>
      <w:r>
        <w:rPr>
          <w:rFonts w:ascii="仿宋_GB2312" w:eastAsia="仿宋_GB2312" w:cstheme="minorBidi"/>
          <w:kern w:val="2"/>
          <w:sz w:val="32"/>
          <w:szCs w:val="32"/>
        </w:rPr>
        <w:t>会直接提示需要变更，如下图：直接点击</w:t>
      </w:r>
      <w:r w:rsidR="00D759FD">
        <w:rPr>
          <w:rFonts w:ascii="仿宋_GB2312" w:eastAsia="仿宋_GB2312" w:cstheme="minorBidi" w:hint="eastAsia"/>
          <w:kern w:val="2"/>
          <w:sz w:val="32"/>
          <w:szCs w:val="32"/>
        </w:rPr>
        <w:t>“</w:t>
      </w:r>
      <w:r>
        <w:rPr>
          <w:rFonts w:ascii="仿宋_GB2312" w:eastAsia="仿宋_GB2312" w:cstheme="minorBidi"/>
          <w:kern w:val="2"/>
          <w:sz w:val="32"/>
          <w:szCs w:val="32"/>
        </w:rPr>
        <w:t>是</w:t>
      </w:r>
      <w:r w:rsidR="00D759FD">
        <w:rPr>
          <w:rFonts w:ascii="仿宋_GB2312" w:eastAsia="仿宋_GB2312" w:cstheme="minorBidi" w:hint="eastAsia"/>
          <w:kern w:val="2"/>
          <w:sz w:val="32"/>
          <w:szCs w:val="32"/>
        </w:rPr>
        <w:t>”</w:t>
      </w:r>
      <w:r>
        <w:rPr>
          <w:rFonts w:ascii="仿宋_GB2312" w:eastAsia="仿宋_GB2312" w:cstheme="minorBidi"/>
          <w:kern w:val="2"/>
          <w:sz w:val="32"/>
          <w:szCs w:val="32"/>
        </w:rPr>
        <w:t>即可变更。</w:t>
      </w:r>
    </w:p>
    <w:p w:rsidR="00E52F86" w:rsidRDefault="00827F63" w:rsidP="00D759FD">
      <w:pPr>
        <w:pStyle w:val="a6"/>
        <w:widowControl/>
        <w:ind w:firstLineChars="200" w:firstLine="480"/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4533900" cy="1571625"/>
            <wp:effectExtent l="0" t="0" r="0" b="9525"/>
            <wp:docPr id="1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pStyle w:val="a6"/>
        <w:widowControl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图：自动提示变更</w:t>
      </w:r>
    </w:p>
    <w:p w:rsidR="00E52F86" w:rsidRDefault="00827F63">
      <w:pPr>
        <w:pStyle w:val="a6"/>
        <w:widowControl/>
        <w:ind w:firstLineChars="200" w:firstLine="640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仿宋_GB2312" w:eastAsia="仿宋_GB2312" w:cstheme="minorBidi"/>
          <w:kern w:val="2"/>
          <w:sz w:val="32"/>
          <w:szCs w:val="32"/>
        </w:rPr>
        <w:lastRenderedPageBreak/>
        <w:t>或手工点击</w:t>
      </w:r>
      <w:r>
        <w:rPr>
          <w:rFonts w:ascii="仿宋_GB2312" w:eastAsia="仿宋_GB2312" w:hint="eastAsia"/>
          <w:sz w:val="32"/>
          <w:szCs w:val="32"/>
        </w:rPr>
        <w:t>“系统设置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税控设备设置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税控设备</w:t>
      </w:r>
      <w:r>
        <w:rPr>
          <w:rFonts w:ascii="仿宋_GB2312" w:eastAsia="仿宋_GB2312" w:hint="eastAsia"/>
          <w:sz w:val="32"/>
          <w:szCs w:val="32"/>
        </w:rPr>
        <w:t>在线变更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菜单项，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系统会提示将自动关闭开票软件，然后自动弹出“输入税务数字证书密码”窗口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，如图所示。</w:t>
      </w:r>
    </w:p>
    <w:p w:rsidR="00E52F86" w:rsidRDefault="00827F63" w:rsidP="00D759FD">
      <w:pPr>
        <w:pStyle w:val="a6"/>
        <w:widowControl/>
        <w:ind w:firstLineChars="200"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4495800" cy="1925955"/>
            <wp:effectExtent l="0" t="0" r="0" b="17145"/>
            <wp:docPr id="1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925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 w:rsidP="00D759FD">
      <w:pPr>
        <w:pStyle w:val="a6"/>
        <w:widowControl/>
        <w:ind w:firstLineChars="200" w:firstLine="480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宋体" w:eastAsia="宋体" w:hAnsi="宋体" w:cs="宋体" w:hint="eastAsia"/>
        </w:rPr>
        <w:t xml:space="preserve">         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输入税务数字证书密码</w:t>
      </w:r>
    </w:p>
    <w:p w:rsidR="00E52F86" w:rsidRDefault="00827F63">
      <w:pPr>
        <w:pStyle w:val="a6"/>
        <w:widowControl/>
        <w:ind w:firstLineChars="200" w:firstLine="640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仿宋_GB2312" w:eastAsia="仿宋_GB2312" w:cstheme="minorBidi" w:hint="eastAsia"/>
          <w:kern w:val="2"/>
          <w:sz w:val="32"/>
          <w:szCs w:val="32"/>
        </w:rPr>
        <w:t>输入税务数字证书密码后，点击“确定”，进入税控设备在线变更主窗口，如图所示。</w:t>
      </w:r>
    </w:p>
    <w:p w:rsidR="00E52F86" w:rsidRDefault="00827F63">
      <w:pPr>
        <w:widowControl/>
        <w:snapToGrid w:val="0"/>
        <w:spacing w:beforeAutospacing="1" w:afterAutospacing="1"/>
        <w:jc w:val="center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fldChar w:fldCharType="begin"/>
      </w:r>
      <w:r>
        <w:rPr>
          <w:rFonts w:ascii="宋体" w:eastAsia="宋体" w:hAnsi="宋体" w:cs="宋体" w:hint="eastAsia"/>
          <w:kern w:val="0"/>
          <w:sz w:val="24"/>
          <w:lang w:bidi="ar"/>
        </w:rPr>
        <w:instrText>INCLUDEPICTURE \d "mk:@MSITStore:C:\\Documents and Settings\\Administrator\\</w:instrText>
      </w:r>
      <w:r>
        <w:rPr>
          <w:rFonts w:ascii="宋体" w:eastAsia="宋体" w:hAnsi="宋体" w:cs="宋体" w:hint="eastAsia"/>
          <w:kern w:val="0"/>
          <w:sz w:val="24"/>
          <w:lang w:bidi="ar"/>
        </w:rPr>
        <w:instrText>桌面</w:instrText>
      </w:r>
      <w:r>
        <w:rPr>
          <w:rFonts w:ascii="宋体" w:eastAsia="宋体" w:hAnsi="宋体" w:cs="宋体" w:hint="eastAsia"/>
          <w:kern w:val="0"/>
          <w:sz w:val="24"/>
          <w:lang w:bidi="ar"/>
        </w:rPr>
        <w:instrText xml:space="preserve">\\kp.chm::\\doc.files\\image152.jpg" \* MERGEFORMATINET </w:instrText>
      </w:r>
      <w:r>
        <w:rPr>
          <w:rFonts w:ascii="宋体" w:eastAsia="宋体" w:hAnsi="宋体" w:cs="宋体" w:hint="eastAsia"/>
          <w:kern w:val="0"/>
          <w:sz w:val="24"/>
          <w:lang w:bidi="ar"/>
        </w:rPr>
        <w:fldChar w:fldCharType="separate"/>
      </w:r>
      <w:r>
        <w:rPr>
          <w:rFonts w:ascii="宋体" w:eastAsia="宋体" w:hAnsi="宋体" w:cs="宋体" w:hint="eastAsia"/>
          <w:noProof/>
          <w:kern w:val="0"/>
          <w:sz w:val="24"/>
        </w:rPr>
        <w:drawing>
          <wp:inline distT="0" distB="0" distL="114300" distR="114300">
            <wp:extent cx="5267325" cy="3305175"/>
            <wp:effectExtent l="0" t="0" r="9525" b="9525"/>
            <wp:docPr id="16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_25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lang w:bidi="ar"/>
        </w:rPr>
        <w:fldChar w:fldCharType="end"/>
      </w:r>
    </w:p>
    <w:p w:rsidR="00E52F86" w:rsidRDefault="00827F63">
      <w:pPr>
        <w:widowControl/>
        <w:snapToGrid w:val="0"/>
        <w:spacing w:beforeAutospacing="1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hint="eastAsia"/>
          <w:sz w:val="32"/>
          <w:szCs w:val="32"/>
        </w:rPr>
        <w:t>税控设备在线变更主窗口</w:t>
      </w:r>
    </w:p>
    <w:p w:rsidR="00E52F86" w:rsidRDefault="00827F63">
      <w:pPr>
        <w:widowControl/>
        <w:snapToGrid w:val="0"/>
        <w:spacing w:beforeAutospacing="1" w:afterAutospacing="1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</w:t>
      </w:r>
      <w:r>
        <w:rPr>
          <w:rFonts w:ascii="仿宋_GB2312" w:eastAsia="仿宋_GB2312" w:hint="eastAsia"/>
          <w:sz w:val="32"/>
          <w:szCs w:val="32"/>
        </w:rPr>
        <w:t>点击</w:t>
      </w:r>
      <w:r>
        <w:rPr>
          <w:rFonts w:ascii="仿宋_GB2312" w:eastAsia="仿宋_GB2312" w:hint="eastAsia"/>
          <w:sz w:val="32"/>
          <w:szCs w:val="32"/>
        </w:rPr>
        <w:t>[</w:t>
      </w:r>
      <w:r>
        <w:rPr>
          <w:rFonts w:ascii="仿宋_GB2312" w:eastAsia="仿宋_GB2312" w:hint="eastAsia"/>
          <w:sz w:val="32"/>
          <w:szCs w:val="32"/>
        </w:rPr>
        <w:t>基本信息变更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>选项卡，选择插入的税控设备，点击“</w:t>
      </w: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INCLUDEPICTURE \d "mk:@MSITStore:C:\\Documents and Settings\\Administrator\\</w:instrText>
      </w:r>
      <w:r>
        <w:rPr>
          <w:rFonts w:ascii="仿宋_GB2312" w:eastAsia="仿宋_GB2312" w:hint="eastAsia"/>
          <w:sz w:val="32"/>
          <w:szCs w:val="32"/>
        </w:rPr>
        <w:instrText>桌面</w:instrText>
      </w:r>
      <w:r>
        <w:rPr>
          <w:rFonts w:ascii="仿宋_GB2312" w:eastAsia="仿宋_GB2312" w:hint="eastAsia"/>
          <w:sz w:val="32"/>
          <w:szCs w:val="32"/>
        </w:rPr>
        <w:instrText xml:space="preserve">\\kp.chm::\\doc.files\\image153.png" \* MERGEFORMATINET 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114300" distR="114300">
            <wp:extent cx="342900" cy="257175"/>
            <wp:effectExtent l="0" t="0" r="0" b="952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”，即“获取数据”按钮，数据获取完成后，如确认无误，点击“</w:t>
      </w:r>
      <w:r>
        <w:rPr>
          <w:rFonts w:ascii="仿宋_GB2312" w:eastAsia="仿宋_GB2312" w:hint="eastAsia"/>
          <w:sz w:val="32"/>
          <w:szCs w:val="32"/>
        </w:rPr>
        <w:fldChar w:fldCharType="begin"/>
      </w:r>
      <w:r>
        <w:rPr>
          <w:rFonts w:ascii="仿宋_GB2312" w:eastAsia="仿宋_GB2312" w:hint="eastAsia"/>
          <w:sz w:val="32"/>
          <w:szCs w:val="32"/>
        </w:rPr>
        <w:instrText>INCLUDEPICTURE \d "mk:@MSITStore:C:\\Documents and Settings\\A</w:instrText>
      </w:r>
      <w:r>
        <w:rPr>
          <w:rFonts w:ascii="仿宋_GB2312" w:eastAsia="仿宋_GB2312" w:hint="eastAsia"/>
          <w:sz w:val="32"/>
          <w:szCs w:val="32"/>
        </w:rPr>
        <w:instrText>dministrator\\</w:instrText>
      </w:r>
      <w:r>
        <w:rPr>
          <w:rFonts w:ascii="仿宋_GB2312" w:eastAsia="仿宋_GB2312" w:hint="eastAsia"/>
          <w:sz w:val="32"/>
          <w:szCs w:val="32"/>
        </w:rPr>
        <w:instrText>桌面</w:instrText>
      </w:r>
      <w:r>
        <w:rPr>
          <w:rFonts w:ascii="仿宋_GB2312" w:eastAsia="仿宋_GB2312" w:hint="eastAsia"/>
          <w:sz w:val="32"/>
          <w:szCs w:val="32"/>
        </w:rPr>
        <w:instrText xml:space="preserve">\\kp.chm::\\doc.files\\image154.png" \* MERGEFORMATINET </w:instrText>
      </w:r>
      <w:r>
        <w:rPr>
          <w:rFonts w:ascii="仿宋_GB2312" w:eastAsia="仿宋_GB2312" w:hint="eastAsia"/>
          <w:sz w:val="32"/>
          <w:szCs w:val="32"/>
        </w:rPr>
        <w:fldChar w:fldCharType="separate"/>
      </w: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114300" distR="114300">
            <wp:extent cx="285750" cy="266700"/>
            <wp:effectExtent l="0" t="0" r="0" b="0"/>
            <wp:docPr id="17" name="图片 1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7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int="eastAsia"/>
          <w:sz w:val="32"/>
          <w:szCs w:val="32"/>
        </w:rPr>
        <w:fldChar w:fldCharType="end"/>
      </w:r>
      <w:r>
        <w:rPr>
          <w:rFonts w:ascii="仿宋_GB2312" w:eastAsia="仿宋_GB2312" w:hint="eastAsia"/>
          <w:sz w:val="32"/>
          <w:szCs w:val="32"/>
        </w:rPr>
        <w:t>”，即“确定”按钮提交变更，如图所示。如无可变更内容，则“确定”按钮为灰色。</w:t>
      </w:r>
    </w:p>
    <w:p w:rsidR="00E52F86" w:rsidRDefault="00827F63" w:rsidP="00D759FD">
      <w:pPr>
        <w:widowControl/>
        <w:snapToGrid w:val="0"/>
        <w:spacing w:beforeAutospacing="1" w:afterAutospacing="1"/>
        <w:ind w:firstLineChars="200" w:firstLine="420"/>
        <w:jc w:val="left"/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5098415" cy="3213735"/>
            <wp:effectExtent l="0" t="0" r="6985" b="5715"/>
            <wp:docPr id="1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IMG_26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98415" cy="321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widowControl/>
        <w:snapToGrid w:val="0"/>
        <w:spacing w:beforeAutospacing="1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hint="eastAsia"/>
          <w:sz w:val="32"/>
          <w:szCs w:val="32"/>
        </w:rPr>
        <w:t>税控设备在线变更主窗口</w:t>
      </w:r>
    </w:p>
    <w:p w:rsidR="00E52F86" w:rsidRDefault="00827F63">
      <w:pPr>
        <w:widowControl/>
        <w:snapToGrid w:val="0"/>
        <w:spacing w:beforeAutospacing="1" w:afterAutospacing="1"/>
        <w:rPr>
          <w:rFonts w:ascii="仿宋_GB2312" w:eastAsia="仿宋_GB2312"/>
          <w:sz w:val="32"/>
          <w:szCs w:val="32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5435600" cy="3159125"/>
            <wp:effectExtent l="0" t="0" r="12700" b="3175"/>
            <wp:docPr id="20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 descr="IMG_26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315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widowControl/>
        <w:snapToGrid w:val="0"/>
        <w:spacing w:beforeAutospacing="1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hint="eastAsia"/>
          <w:sz w:val="32"/>
          <w:szCs w:val="32"/>
        </w:rPr>
        <w:t>税控设备在线变更主窗口</w:t>
      </w:r>
    </w:p>
    <w:p w:rsidR="00E52F86" w:rsidRDefault="00827F63">
      <w:pPr>
        <w:widowControl/>
        <w:snapToGrid w:val="0"/>
        <w:spacing w:beforeAutospacing="1" w:afterAutospacing="1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</w:t>
      </w:r>
      <w:r>
        <w:rPr>
          <w:rFonts w:ascii="仿宋_GB2312" w:eastAsia="仿宋_GB2312"/>
          <w:sz w:val="32"/>
          <w:szCs w:val="32"/>
        </w:rPr>
        <w:t>出现以下截图说明此次远程变更写盘成功。</w:t>
      </w:r>
    </w:p>
    <w:p w:rsidR="00E52F86" w:rsidRDefault="00827F63">
      <w:pPr>
        <w:widowControl/>
        <w:snapToGrid w:val="0"/>
        <w:spacing w:beforeAutospacing="1" w:afterAutospacing="1"/>
        <w:jc w:val="left"/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5316220" cy="3375660"/>
            <wp:effectExtent l="0" t="0" r="17780" b="15240"/>
            <wp:docPr id="2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" descr="IMG_26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16220" cy="3375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widowControl/>
        <w:snapToGrid w:val="0"/>
        <w:spacing w:beforeAutospacing="1" w:afterAutospacing="1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hint="eastAsia"/>
          <w:sz w:val="32"/>
          <w:szCs w:val="32"/>
        </w:rPr>
        <w:t>变更写</w:t>
      </w:r>
      <w:proofErr w:type="gramStart"/>
      <w:r>
        <w:rPr>
          <w:rFonts w:ascii="仿宋_GB2312" w:eastAsia="仿宋_GB2312" w:hint="eastAsia"/>
          <w:sz w:val="32"/>
          <w:szCs w:val="32"/>
        </w:rPr>
        <w:t>盘成功</w:t>
      </w:r>
      <w:proofErr w:type="gramEnd"/>
      <w:r>
        <w:rPr>
          <w:rFonts w:ascii="仿宋_GB2312" w:eastAsia="仿宋_GB2312" w:hint="eastAsia"/>
          <w:sz w:val="32"/>
          <w:szCs w:val="32"/>
        </w:rPr>
        <w:t>提示</w:t>
      </w:r>
    </w:p>
    <w:p w:rsidR="00E52F86" w:rsidRDefault="00827F63">
      <w:pPr>
        <w:pStyle w:val="a6"/>
        <w:widowControl/>
        <w:ind w:firstLineChars="200" w:firstLine="640"/>
        <w:rPr>
          <w:rFonts w:ascii="仿宋_GB2312" w:eastAsia="仿宋_GB2312" w:cstheme="minorBidi"/>
          <w:kern w:val="2"/>
          <w:sz w:val="32"/>
          <w:szCs w:val="32"/>
        </w:rPr>
      </w:pPr>
      <w:r>
        <w:rPr>
          <w:rFonts w:ascii="仿宋_GB2312" w:eastAsia="仿宋_GB2312" w:cstheme="minorBidi"/>
          <w:kern w:val="2"/>
          <w:sz w:val="32"/>
          <w:szCs w:val="32"/>
        </w:rPr>
        <w:t>变更成功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后</w:t>
      </w:r>
      <w:r>
        <w:rPr>
          <w:rFonts w:ascii="仿宋_GB2312" w:eastAsia="仿宋_GB2312" w:cstheme="minorBidi"/>
          <w:kern w:val="2"/>
          <w:sz w:val="32"/>
          <w:szCs w:val="32"/>
        </w:rPr>
        <w:t>，开票软件默认会将数字证书变更，如下图：</w:t>
      </w:r>
    </w:p>
    <w:p w:rsidR="00E52F86" w:rsidRDefault="00827F63" w:rsidP="00D759FD">
      <w:pPr>
        <w:pStyle w:val="a6"/>
        <w:widowControl/>
        <w:ind w:firstLineChars="200" w:firstLine="480"/>
        <w:rPr>
          <w:shd w:val="clear" w:color="auto" w:fill="FAFAFA"/>
        </w:rPr>
      </w:pPr>
      <w:r>
        <w:rPr>
          <w:noProof/>
          <w:shd w:val="clear" w:color="auto" w:fill="FAFAFA"/>
        </w:rPr>
        <w:drawing>
          <wp:inline distT="0" distB="0" distL="114300" distR="114300">
            <wp:extent cx="5053330" cy="3086100"/>
            <wp:effectExtent l="0" t="0" r="13970" b="0"/>
            <wp:docPr id="2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IMG_26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2F86" w:rsidRDefault="00827F63">
      <w:pPr>
        <w:pStyle w:val="a6"/>
        <w:widowControl/>
        <w:ind w:firstLineChars="200" w:firstLine="640"/>
        <w:rPr>
          <w:shd w:val="clear" w:color="auto" w:fill="FAFAFA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图：</w:t>
      </w:r>
      <w:r>
        <w:rPr>
          <w:rFonts w:ascii="仿宋_GB2312" w:eastAsia="仿宋_GB2312" w:cstheme="minorBidi" w:hint="eastAsia"/>
          <w:kern w:val="2"/>
          <w:sz w:val="32"/>
          <w:szCs w:val="32"/>
        </w:rPr>
        <w:t>证书变更</w:t>
      </w:r>
    </w:p>
    <w:p w:rsidR="00E52F86" w:rsidRDefault="00827F63">
      <w:pPr>
        <w:pStyle w:val="a6"/>
        <w:widowControl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至此完成了远程变更税务机构的相关操作。</w:t>
      </w:r>
    </w:p>
    <w:p w:rsidR="00E52F86" w:rsidRDefault="00827F63">
      <w:pPr>
        <w:pStyle w:val="2"/>
        <w:numPr>
          <w:ilvl w:val="0"/>
          <w:numId w:val="2"/>
        </w:numPr>
        <w:ind w:firstLineChars="196" w:firstLine="630"/>
        <w:rPr>
          <w:rFonts w:ascii="黑体" w:eastAsia="黑体" w:hint="default"/>
          <w:sz w:val="32"/>
          <w:szCs w:val="32"/>
        </w:rPr>
      </w:pPr>
      <w:r>
        <w:rPr>
          <w:rFonts w:ascii="黑体" w:eastAsia="黑体"/>
          <w:sz w:val="32"/>
          <w:szCs w:val="32"/>
        </w:rPr>
        <w:t>如</w:t>
      </w:r>
      <w:r>
        <w:rPr>
          <w:rFonts w:ascii="黑体" w:eastAsia="黑体"/>
          <w:sz w:val="32"/>
          <w:szCs w:val="32"/>
        </w:rPr>
        <w:t>果</w:t>
      </w:r>
      <w:r>
        <w:rPr>
          <w:rFonts w:ascii="黑体" w:eastAsia="黑体"/>
          <w:sz w:val="32"/>
          <w:szCs w:val="32"/>
        </w:rPr>
        <w:t>企业开票软件版本和</w:t>
      </w:r>
      <w:r>
        <w:rPr>
          <w:rFonts w:ascii="黑体" w:eastAsia="黑体"/>
          <w:sz w:val="32"/>
          <w:szCs w:val="32"/>
        </w:rPr>
        <w:t>税控</w:t>
      </w:r>
      <w:r>
        <w:rPr>
          <w:rFonts w:ascii="黑体" w:eastAsia="黑体"/>
          <w:sz w:val="32"/>
          <w:szCs w:val="32"/>
        </w:rPr>
        <w:t>盘底层不满足上述条件，可按照以下方式解决：</w:t>
      </w:r>
    </w:p>
    <w:p w:rsidR="00E52F86" w:rsidRDefault="00827F63">
      <w:pPr>
        <w:spacing w:beforeLines="50" w:before="156" w:afterLines="50" w:after="156"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1.</w:t>
      </w:r>
      <w:r>
        <w:rPr>
          <w:rFonts w:ascii="仿宋_GB2312" w:eastAsia="仿宋_GB2312" w:hAnsi="仿宋" w:cs="Times New Roman" w:hint="eastAsia"/>
          <w:sz w:val="32"/>
          <w:szCs w:val="32"/>
        </w:rPr>
        <w:t>拨打服务热线，服务单位给予企业远程或电话指导进行开票软件版本或</w:t>
      </w:r>
      <w:r>
        <w:rPr>
          <w:rFonts w:ascii="仿宋_GB2312" w:eastAsia="仿宋_GB2312" w:hAnsi="仿宋" w:cs="Times New Roman" w:hint="eastAsia"/>
          <w:sz w:val="32"/>
          <w:szCs w:val="32"/>
        </w:rPr>
        <w:t>税控</w:t>
      </w:r>
      <w:r>
        <w:rPr>
          <w:rFonts w:ascii="仿宋_GB2312" w:eastAsia="仿宋_GB2312" w:hAnsi="仿宋" w:cs="Times New Roman" w:hint="eastAsia"/>
          <w:sz w:val="32"/>
          <w:szCs w:val="32"/>
        </w:rPr>
        <w:t>盘底层升级；完成升级后可按“第一条步骤三”完成</w:t>
      </w:r>
      <w:r>
        <w:rPr>
          <w:rFonts w:ascii="仿宋_GB2312" w:eastAsia="仿宋_GB2312" w:hAnsi="仿宋" w:cs="Times New Roman" w:hint="eastAsia"/>
          <w:sz w:val="32"/>
          <w:szCs w:val="32"/>
        </w:rPr>
        <w:t>在线变更</w:t>
      </w:r>
      <w:r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E52F86" w:rsidRDefault="00827F63">
      <w:pPr>
        <w:spacing w:beforeLines="50" w:before="156" w:afterLines="50" w:after="156" w:line="360" w:lineRule="auto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2.</w:t>
      </w:r>
      <w:r>
        <w:rPr>
          <w:rFonts w:ascii="仿宋_GB2312" w:eastAsia="仿宋_GB2312" w:hAnsi="仿宋" w:cs="Times New Roman" w:hint="eastAsia"/>
          <w:sz w:val="32"/>
          <w:szCs w:val="32"/>
        </w:rPr>
        <w:t>开票软件版本及底层程序版本号不支持</w:t>
      </w:r>
      <w:r>
        <w:rPr>
          <w:rFonts w:ascii="仿宋_GB2312" w:eastAsia="仿宋_GB2312" w:hAnsi="仿宋" w:cs="Times New Roman" w:hint="eastAsia"/>
          <w:sz w:val="32"/>
          <w:szCs w:val="32"/>
        </w:rPr>
        <w:t>在线</w:t>
      </w:r>
      <w:r>
        <w:rPr>
          <w:rFonts w:ascii="仿宋_GB2312" w:eastAsia="仿宋_GB2312" w:hAnsi="仿宋" w:cs="Times New Roman" w:hint="eastAsia"/>
          <w:sz w:val="32"/>
          <w:szCs w:val="32"/>
        </w:rPr>
        <w:t>变更功能的企业及不具备联网条件的企业，也可携带税控设备前往办税服务厅进行变更写盘。</w:t>
      </w:r>
    </w:p>
    <w:p w:rsidR="00E52F86" w:rsidRDefault="00827F63">
      <w:pPr>
        <w:spacing w:beforeLines="50" w:before="156" w:afterLines="50" w:after="156" w:line="360" w:lineRule="auto"/>
        <w:ind w:firstLineChars="200" w:firstLine="640"/>
        <w:rPr>
          <w:rFonts w:ascii="黑体" w:eastAsia="黑体"/>
        </w:rPr>
      </w:pPr>
      <w:r>
        <w:rPr>
          <w:rFonts w:ascii="黑体" w:eastAsia="黑体" w:hAnsi="仿宋" w:hint="eastAsia"/>
          <w:color w:val="000000"/>
          <w:sz w:val="32"/>
          <w:szCs w:val="32"/>
        </w:rPr>
        <w:t>天津</w:t>
      </w:r>
      <w:r>
        <w:rPr>
          <w:rFonts w:ascii="黑体" w:eastAsia="黑体" w:hAnsi="仿宋" w:hint="eastAsia"/>
          <w:color w:val="000000"/>
          <w:sz w:val="32"/>
          <w:szCs w:val="32"/>
        </w:rPr>
        <w:t>百望金</w:t>
      </w:r>
      <w:bookmarkStart w:id="0" w:name="_GoBack"/>
      <w:bookmarkEnd w:id="0"/>
      <w:r>
        <w:rPr>
          <w:rFonts w:ascii="黑体" w:eastAsia="黑体" w:hAnsi="仿宋" w:hint="eastAsia"/>
          <w:color w:val="000000"/>
          <w:sz w:val="32"/>
          <w:szCs w:val="32"/>
        </w:rPr>
        <w:t>赋科技</w:t>
      </w:r>
      <w:r>
        <w:rPr>
          <w:rFonts w:ascii="黑体" w:eastAsia="黑体" w:hAnsi="仿宋" w:hint="eastAsia"/>
          <w:color w:val="000000"/>
          <w:sz w:val="32"/>
          <w:szCs w:val="32"/>
        </w:rPr>
        <w:t>有限公司服务热线：</w:t>
      </w:r>
      <w:r>
        <w:rPr>
          <w:rFonts w:ascii="黑体" w:eastAsia="黑体" w:hAnsi="仿宋" w:hint="eastAsia"/>
          <w:color w:val="000000"/>
          <w:sz w:val="32"/>
          <w:szCs w:val="32"/>
        </w:rPr>
        <w:t>022-</w:t>
      </w:r>
      <w:r>
        <w:rPr>
          <w:rFonts w:ascii="黑体" w:eastAsia="黑体" w:hAnsi="仿宋" w:hint="eastAsia"/>
          <w:color w:val="000000"/>
          <w:sz w:val="32"/>
          <w:szCs w:val="32"/>
        </w:rPr>
        <w:t>59017000</w:t>
      </w:r>
    </w:p>
    <w:p w:rsidR="00E52F86" w:rsidRDefault="00E52F86"/>
    <w:p w:rsidR="00E52F86" w:rsidRDefault="00E52F86"/>
    <w:p w:rsidR="00E52F86" w:rsidRDefault="00E52F86">
      <w:pPr>
        <w:rPr>
          <w:rFonts w:ascii="仿宋_GB2312" w:eastAsia="仿宋_GB2312"/>
          <w:sz w:val="32"/>
          <w:szCs w:val="32"/>
        </w:rPr>
      </w:pPr>
    </w:p>
    <w:sectPr w:rsidR="00E52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BFA9"/>
    <w:multiLevelType w:val="singleLevel"/>
    <w:tmpl w:val="5BEBBFA9"/>
    <w:lvl w:ilvl="0">
      <w:start w:val="2"/>
      <w:numFmt w:val="decimal"/>
      <w:suff w:val="nothing"/>
      <w:lvlText w:val="%1."/>
      <w:lvlJc w:val="left"/>
    </w:lvl>
  </w:abstractNum>
  <w:abstractNum w:abstractNumId="1">
    <w:nsid w:val="5BEBC9A8"/>
    <w:multiLevelType w:val="singleLevel"/>
    <w:tmpl w:val="5BEBC9A8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DA"/>
    <w:rsid w:val="0010658C"/>
    <w:rsid w:val="00175FC3"/>
    <w:rsid w:val="002A3068"/>
    <w:rsid w:val="00827F63"/>
    <w:rsid w:val="0085517B"/>
    <w:rsid w:val="00C577DA"/>
    <w:rsid w:val="00D007F0"/>
    <w:rsid w:val="00D23D14"/>
    <w:rsid w:val="00D759FD"/>
    <w:rsid w:val="00E52F86"/>
    <w:rsid w:val="01225574"/>
    <w:rsid w:val="10532510"/>
    <w:rsid w:val="11874094"/>
    <w:rsid w:val="12005E6B"/>
    <w:rsid w:val="125B46AC"/>
    <w:rsid w:val="1C923145"/>
    <w:rsid w:val="21540990"/>
    <w:rsid w:val="24D32FD7"/>
    <w:rsid w:val="274B7281"/>
    <w:rsid w:val="28111DD9"/>
    <w:rsid w:val="2D971403"/>
    <w:rsid w:val="2E4C52DB"/>
    <w:rsid w:val="2FAD0829"/>
    <w:rsid w:val="343D4EC3"/>
    <w:rsid w:val="36DF1233"/>
    <w:rsid w:val="37A67170"/>
    <w:rsid w:val="3A772D80"/>
    <w:rsid w:val="3C3649F8"/>
    <w:rsid w:val="44F84E8E"/>
    <w:rsid w:val="45A5518B"/>
    <w:rsid w:val="489645C5"/>
    <w:rsid w:val="4B983F14"/>
    <w:rsid w:val="4D673F32"/>
    <w:rsid w:val="4FB17624"/>
    <w:rsid w:val="57F434FA"/>
    <w:rsid w:val="664F7154"/>
    <w:rsid w:val="68771E6B"/>
    <w:rsid w:val="6BB90D49"/>
    <w:rsid w:val="6CCA7E75"/>
    <w:rsid w:val="71F0670A"/>
    <w:rsid w:val="72713FCC"/>
    <w:rsid w:val="7BF17A1D"/>
    <w:rsid w:val="7D233A45"/>
    <w:rsid w:val="7E5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color w:val="576B95"/>
      <w:u w:val="none"/>
    </w:r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576B95"/>
      <w:u w:val="none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color w:val="576B95"/>
      <w:u w:val="none"/>
    </w:r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576B95"/>
      <w:u w:val="none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NULL" TargetMode="Externa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NULL" TargetMode="External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NUL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214</Words>
  <Characters>1222</Characters>
  <Application>Microsoft Office Word</Application>
  <DocSecurity>0</DocSecurity>
  <Lines>10</Lines>
  <Paragraphs>2</Paragraphs>
  <ScaleCrop>false</ScaleCrop>
  <Company>Lenovo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baiwang</dc:creator>
  <cp:lastModifiedBy>张雅彬</cp:lastModifiedBy>
  <cp:revision>4</cp:revision>
  <dcterms:created xsi:type="dcterms:W3CDTF">2014-10-29T12:08:00Z</dcterms:created>
  <dcterms:modified xsi:type="dcterms:W3CDTF">2018-11-15T01:13:00Z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